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5570" w14:textId="77777777" w:rsidR="00206779" w:rsidRPr="00206779" w:rsidRDefault="00206779" w:rsidP="00206779">
      <w:pPr>
        <w:rPr>
          <w:b/>
          <w:bCs/>
          <w:szCs w:val="28"/>
        </w:rPr>
      </w:pPr>
      <w:r w:rsidRPr="00206779">
        <w:rPr>
          <w:b/>
          <w:bCs/>
          <w:szCs w:val="28"/>
        </w:rPr>
        <w:t xml:space="preserve">Metodický pokyn pro posouzení žádostí o dotaci </w:t>
      </w:r>
      <w:r w:rsidRPr="00206779">
        <w:rPr>
          <w:b/>
          <w:bCs/>
        </w:rPr>
        <w:t xml:space="preserve">rámci </w:t>
      </w:r>
      <w:r w:rsidRPr="00206779">
        <w:rPr>
          <w:b/>
          <w:bCs/>
          <w:szCs w:val="28"/>
        </w:rPr>
        <w:t>Programů podpory tělovýchovy a sportu v Rýmařově na rok 2024</w:t>
      </w:r>
    </w:p>
    <w:p w14:paraId="07368661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rPr>
          <w:szCs w:val="28"/>
        </w:rPr>
      </w:pPr>
      <w:r w:rsidRPr="00206779">
        <w:rPr>
          <w:szCs w:val="28"/>
        </w:rPr>
        <w:t>Cílem tohoto metodického pokynu je snížit subjektivitu při hodnocení jednotlivých žádostí a omezit faktor ekonomické nerovnosti jednotlivých subjektů při přidělování finančních prostředků města, aby bylo zajištěno účelné, hospodárné a efektivní vynakládání finančních prostředků z rozpočtu města.</w:t>
      </w:r>
    </w:p>
    <w:p w14:paraId="51CDDECD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rPr>
          <w:szCs w:val="28"/>
        </w:rPr>
      </w:pPr>
      <w:r w:rsidRPr="00206779">
        <w:rPr>
          <w:szCs w:val="28"/>
        </w:rPr>
        <w:t>Komise rozhoduje o všech žádostech předložených ve stanoveném termínu.</w:t>
      </w:r>
    </w:p>
    <w:p w14:paraId="61E934B7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rPr>
          <w:szCs w:val="28"/>
        </w:rPr>
      </w:pPr>
      <w:r w:rsidRPr="00206779">
        <w:rPr>
          <w:szCs w:val="28"/>
        </w:rPr>
        <w:t>Členové komise jsou povinni rozhodovat nestranně, nezaujatě a vyhnout se střetu zájmů. V případě projednávání žádosti předložené žadatelem, k němuž má člen komise jakýkoli osobní či pracovní vztah, je člen komise povinen oznámit střet zájmů.</w:t>
      </w:r>
    </w:p>
    <w:p w14:paraId="4A982CF1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contextualSpacing/>
      </w:pPr>
      <w:r w:rsidRPr="00206779">
        <w:rPr>
          <w:szCs w:val="28"/>
        </w:rPr>
        <w:t>Komise v roce 2024 nebude stanovovat koeficienty a základní částky, bude rozhodovat o každé požadované částce individuálně. Posuzována budou tato hlediska:</w:t>
      </w:r>
      <w:r w:rsidRPr="00206779">
        <w:t xml:space="preserve"> </w:t>
      </w:r>
    </w:p>
    <w:p w14:paraId="4B00F8EF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úplnost žádosti – zpracování na předepsaném formuláři s doložením všech legislativou i poskytovatelem požadovaných příloh, přehlednost, jasný popis aktivit projektu, uvedení rozpočtu a harmonogramu projektu;</w:t>
      </w:r>
    </w:p>
    <w:p w14:paraId="7F5ACB6D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vyúčtování dříve poskytnutého příspěvku – dodržení termínu, hospodárnost vynaložených prostředků, dodržení pravidel pro propagaci;</w:t>
      </w:r>
    </w:p>
    <w:p w14:paraId="593B164C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soulad se stanovenými podmínkami – žadatel splňuje podmínky pro přidělení dotace, žádost obsahuje pouze uznatelné náklady programu, projekt je přínosem pro cílovou skupinu</w:t>
      </w:r>
    </w:p>
    <w:p w14:paraId="4AD34BA2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možnost kontroly využití prostředků – výdaje jsou provázány s aktivitami programu, rozpočet projektu je srozumitelný a výdaje jsou doložitelné a prokazatelné;</w:t>
      </w:r>
    </w:p>
    <w:p w14:paraId="27096084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hledisko celkové koncepce podpory sportu – potřebnost a relevance předloženého projektu, poptávka ze strany cílové skupiny, vhodný termín, celková kvalita projektu, přiměřenost výdajů, hospodárnost;</w:t>
      </w:r>
    </w:p>
    <w:p w14:paraId="2DC8798D" w14:textId="77777777" w:rsidR="00206779" w:rsidRPr="00206779" w:rsidRDefault="00206779" w:rsidP="00206779">
      <w:pPr>
        <w:pStyle w:val="Odstavecseseznamem"/>
        <w:numPr>
          <w:ilvl w:val="1"/>
          <w:numId w:val="1"/>
        </w:numPr>
        <w:contextualSpacing/>
      </w:pPr>
      <w:r w:rsidRPr="00206779">
        <w:t>získání finančních prostředků z jiných zdrojů – včetně vlastního podílu žadatele.</w:t>
      </w:r>
    </w:p>
    <w:p w14:paraId="7EEBE8A4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contextualSpacing/>
      </w:pPr>
      <w:r w:rsidRPr="00206779">
        <w:t xml:space="preserve">Podklady pro hodnocení dle bodů 4a a 4b předloží komisi odbor školství a kultury. </w:t>
      </w:r>
    </w:p>
    <w:p w14:paraId="3B48D44A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contextualSpacing/>
      </w:pPr>
      <w:r w:rsidRPr="00206779">
        <w:t>Každý člen hodnotí každou žádost dle hledisek uvedených v bodě 4., přičemž za každé jedno kritérium může přidělit 0-5 bodů, žádost tedy může získat nejvýše 30 bodů. Z hodnocení jednotlivých členů  je na schůzi komise vypočten aritmetický průměr. Projekty, které v hodnocení získají méně než 10 bodů, budou z dalšího hodnocení vyřazeny.</w:t>
      </w:r>
    </w:p>
    <w:p w14:paraId="7404E655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contextualSpacing/>
      </w:pPr>
      <w:r w:rsidRPr="00206779">
        <w:t xml:space="preserve">Při stanovení částky, kterou jako návrh komise doporučí ke schválení orgánům města, komise posoudí přiměřenost požadavku ve vztahu k cílům programu a v korelaci s dříve poskytnutými příspěvky s přihlédnutím k získanému bodovému hodnocení. </w:t>
      </w:r>
    </w:p>
    <w:p w14:paraId="7B0547B5" w14:textId="77777777" w:rsidR="00206779" w:rsidRPr="00206779" w:rsidRDefault="00206779" w:rsidP="00206779">
      <w:pPr>
        <w:pStyle w:val="Odstavecseseznamem"/>
        <w:numPr>
          <w:ilvl w:val="0"/>
          <w:numId w:val="1"/>
        </w:numPr>
        <w:contextualSpacing/>
      </w:pPr>
      <w:r w:rsidRPr="00206779">
        <w:t xml:space="preserve">Návrhy budou předloženy k projednání orgánům města ve formě tabulky s uvedením žadatele, názvu projektu, celkových nákladů projektu, požadované částky, procentuálního podílu požadované částky k celkovým nákladům projektu, bodového hodnocení žádosti ze strany komise a částky navržené komisí. </w:t>
      </w:r>
    </w:p>
    <w:p w14:paraId="4D08D66A" w14:textId="77777777" w:rsidR="00477743" w:rsidRPr="00206779" w:rsidRDefault="00477743"/>
    <w:p w14:paraId="43C8E306" w14:textId="2F09DE23" w:rsidR="00206779" w:rsidRDefault="00206779">
      <w:r>
        <w:t>Metodický pokyn schválila Rada města Rýmařova svým usnesením č. 1426/30/23 ze dne 04.12.2023.</w:t>
      </w:r>
    </w:p>
    <w:sectPr w:rsidR="0020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48B6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86497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9"/>
    <w:rsid w:val="00206779"/>
    <w:rsid w:val="004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7B93"/>
  <w15:chartTrackingRefBased/>
  <w15:docId w15:val="{81285D34-640F-4A02-901C-F84FAD7D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779"/>
    <w:pPr>
      <w:spacing w:after="12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7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Pleská Leona</dc:creator>
  <cp:keywords/>
  <dc:description/>
  <cp:lastModifiedBy>Bc. Pleská Leona</cp:lastModifiedBy>
  <cp:revision>1</cp:revision>
  <dcterms:created xsi:type="dcterms:W3CDTF">2024-01-02T10:52:00Z</dcterms:created>
  <dcterms:modified xsi:type="dcterms:W3CDTF">2024-01-02T10:54:00Z</dcterms:modified>
</cp:coreProperties>
</file>